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Bdr>
          <w:bottom w:val="single" w:sz="4" w:space="4" w:color="000000"/>
        </w:pBdr>
        <w:spacing w:before="0" w:after="200" w:line="240" w:lineRule="auto"/>
        <w:jc w:val="center"/>
      </w:pPr>
      <w:r>
        <w:rPr>
          <w:rFonts w:ascii="Times New Roman" w:hAnsi="Times New Roman" w:eastAsia="MS Mincho" w:cs="Times New Roman"/>
          <w:b w:val="0"/>
          <w:i w:val="0"/>
          <w:sz w:val="24"/>
        </w:rPr>
        <w:t>言語獲得と理解研究会報告（Summer 2026）</w:t>
      </w:r>
    </w:p>
    <w:p>
      <w:pPr>
        <w:spacing w:before="40" w:after="160" w:line="240" w:lineRule="auto"/>
        <w:jc w:val="center"/>
      </w:pPr>
      <w:r>
        <w:rPr>
          <w:rFonts w:ascii="Times New Roman" w:hAnsi="Times New Roman" w:eastAsia="MS Gothic" w:cs="Times New Roman"/>
          <w:b/>
          <w:i w:val="0"/>
          <w:sz w:val="34"/>
        </w:rPr>
        <w:t>大規模言語モデルと人間の言語表現の比較に関する一考察</w:t>
      </w:r>
    </w:p>
    <w:p>
      <w:pPr>
        <w:spacing w:before="0" w:after="80" w:line="240" w:lineRule="auto"/>
        <w:jc w:val="center"/>
      </w:pPr>
      <w:r>
        <w:rPr>
          <w:rFonts w:ascii="Times New Roman" w:hAnsi="Times New Roman" w:eastAsia="MS Mincho" w:cs="Times New Roman"/>
          <w:b w:val="0"/>
          <w:i w:val="0"/>
          <w:sz w:val="24"/>
        </w:rPr>
        <w:t>山田 太郎</w:t>
      </w:r>
      <w:r>
        <w:rPr>
          <w:rFonts w:ascii="Times New Roman" w:hAnsi="Times New Roman" w:eastAsia="MS Mincho" w:cs="Times New Roman"/>
          <w:b w:val="0"/>
          <w:i w:val="0"/>
          <w:sz w:val="24"/>
          <w:vertAlign w:val="superscript"/>
        </w:rPr>
        <w:t>†</w:t>
      </w:r>
      <w:r>
        <w:rPr>
          <w:rFonts w:ascii="Times New Roman" w:hAnsi="Times New Roman" w:eastAsia="MS Mincho" w:cs="Times New Roman"/>
          <w:b w:val="0"/>
          <w:i w:val="0"/>
          <w:sz w:val="24"/>
        </w:rPr>
        <w:t xml:space="preserve">　　</w:t>
      </w:r>
      <w:r>
        <w:rPr>
          <w:rFonts w:ascii="Times New Roman" w:hAnsi="Times New Roman" w:eastAsia="MS Mincho" w:cs="Times New Roman"/>
          <w:b w:val="0"/>
          <w:i w:val="0"/>
          <w:sz w:val="24"/>
        </w:rPr>
        <w:t>鈴木 花子</w:t>
      </w:r>
      <w:r>
        <w:rPr>
          <w:rFonts w:ascii="Times New Roman" w:hAnsi="Times New Roman" w:eastAsia="MS Mincho" w:cs="Times New Roman"/>
          <w:b w:val="0"/>
          <w:i w:val="0"/>
          <w:sz w:val="24"/>
          <w:vertAlign w:val="superscript"/>
        </w:rPr>
        <w:t>‡</w:t>
      </w:r>
    </w:p>
    <w:p>
      <w:pPr>
        <w:spacing w:before="0" w:after="20" w:line="240" w:lineRule="auto"/>
        <w:jc w:val="center"/>
      </w:pPr>
      <w:r>
        <w:rPr>
          <w:rFonts w:ascii="Times New Roman" w:hAnsi="Times New Roman" w:eastAsia="MS Mincho" w:cs="Times New Roman"/>
          <w:b w:val="0"/>
          <w:i w:val="0"/>
          <w:sz w:val="20"/>
          <w:vertAlign w:val="superscript"/>
        </w:rPr>
        <w:t>†</w:t>
      </w:r>
      <w:r>
        <w:rPr>
          <w:rFonts w:ascii="Times New Roman" w:hAnsi="Times New Roman" w:eastAsia="MS Mincho" w:cs="Times New Roman"/>
          <w:b w:val="0"/>
          <w:i w:val="0"/>
          <w:sz w:val="20"/>
        </w:rPr>
        <w:t xml:space="preserve"> ○○大学 □□学院　</w:t>
      </w:r>
      <w:r>
        <w:rPr>
          <w:rFonts w:ascii="Courier New" w:hAnsi="Courier New" w:eastAsia="MS Mincho" w:cs="Courier New"/>
          <w:b w:val="0"/>
          <w:i w:val="0"/>
          <w:sz w:val="20"/>
        </w:rPr>
        <w:t>taro@example.ac.jp</w:t>
      </w:r>
    </w:p>
    <w:p>
      <w:pPr>
        <w:spacing w:before="0" w:after="200" w:line="240" w:lineRule="auto"/>
        <w:jc w:val="center"/>
      </w:pPr>
      <w:r>
        <w:rPr>
          <w:rFonts w:ascii="Times New Roman" w:hAnsi="Times New Roman" w:eastAsia="MS Mincho" w:cs="Times New Roman"/>
          <w:b w:val="0"/>
          <w:i w:val="0"/>
          <w:sz w:val="20"/>
          <w:vertAlign w:val="superscript"/>
        </w:rPr>
        <w:t>‡</w:t>
      </w:r>
      <w:r>
        <w:rPr>
          <w:rFonts w:ascii="Times New Roman" w:hAnsi="Times New Roman" w:eastAsia="MS Mincho" w:cs="Times New Roman"/>
          <w:b w:val="0"/>
          <w:i w:val="0"/>
          <w:sz w:val="20"/>
        </w:rPr>
        <w:t xml:space="preserve"> ○○大学 □□研究院　</w:t>
      </w:r>
      <w:r>
        <w:rPr>
          <w:rFonts w:ascii="Courier New" w:hAnsi="Courier New" w:eastAsia="MS Mincho" w:cs="Courier New"/>
          <w:b w:val="0"/>
          <w:i w:val="0"/>
          <w:sz w:val="20"/>
        </w:rPr>
        <w:t>hanako@example.ac.jp</w:t>
      </w:r>
    </w:p>
    <w:p>
      <w:pPr>
        <w:spacing w:before="0" w:after="20" w:line="240" w:lineRule="auto"/>
        <w:jc w:val="center"/>
      </w:pPr>
      <w:r>
        <w:rPr>
          <w:rFonts w:ascii="Times New Roman" w:hAnsi="Times New Roman" w:eastAsia="MS Mincho" w:cs="Times New Roman"/>
          <w:b/>
          <w:i w:val="0"/>
          <w:sz w:val="20"/>
        </w:rPr>
        <w:t>Abstract</w:t>
      </w:r>
    </w:p>
    <w:p>
      <w:pPr>
        <w:spacing w:before="0" w:after="240" w:line="240" w:lineRule="auto"/>
        <w:ind w:left="737" w:right="737"/>
        <w:jc w:val="both"/>
      </w:pPr>
      <w:r>
        <w:rPr>
          <w:rFonts w:ascii="Times New Roman" w:hAnsi="Times New Roman" w:eastAsia="MS Mincho" w:cs="Times New Roman"/>
          <w:b w:val="0"/>
          <w:i w:val="0"/>
          <w:sz w:val="20"/>
        </w:rPr>
        <w:t>This document is a ready-to-use template for the SIG on Language Acquisition and Understanding. It demonstrates every element a paper needs—sectioning, figures, tables, equations, numbered example sentences, citations and a compact bibliography—inside a clean two-column layout with aligned margins. Replace this text and the configuration block with your own content; the body below shows how each element is written.</w:t>
      </w:r>
    </w:p>
    <w:p>
      <w:pPr>
        <w:sectPr>
          <w:pgSz w:w="11906" w:h="16838"/>
          <w:pgMar w:top="1020" w:right="850" w:bottom="1020" w:left="850" w:header="720" w:footer="720" w:gutter="0"/>
          <w:cols w:space="453" w:num="1" w:equalWidth="1" w:sep="0"/>
          <w:docGrid w:linePitch="360"/>
        </w:sectPr>
      </w:pPr>
    </w:p>
    <w:p>
      <w:pPr>
        <w:spacing w:before="80" w:after="40" w:line="240" w:lineRule="auto"/>
        <w:jc w:val="left"/>
      </w:pPr>
      <w:r>
        <w:rPr>
          <w:rFonts w:ascii="Times New Roman" w:hAnsi="Times New Roman" w:eastAsia="MS Mincho" w:cs="Times New Roman"/>
          <w:b/>
          <w:i w:val="0"/>
          <w:sz w:val="28"/>
        </w:rPr>
        <w:t xml:space="preserve">1 </w:t>
      </w:r>
      <w:r>
        <w:rPr>
          <w:rFonts w:ascii="Times New Roman" w:hAnsi="Times New Roman" w:eastAsia="MS Gothic" w:cs="Times New Roman"/>
          <w:b/>
          <w:i w:val="0"/>
          <w:sz w:val="28"/>
        </w:rPr>
        <w:t>はじめに</w:t>
      </w:r>
    </w:p>
    <w:p>
      <w:pPr>
        <w:spacing w:before="0" w:after="60" w:line="252" w:lineRule="auto"/>
        <w:jc w:val="both"/>
      </w:pPr>
      <w:r>
        <w:rPr>
          <w:rFonts w:ascii="Times New Roman" w:hAnsi="Times New Roman" w:eastAsia="MS Mincho" w:cs="Times New Roman"/>
          <w:b w:val="0"/>
          <w:i w:val="0"/>
          <w:sz w:val="20"/>
        </w:rPr>
        <w:t>本稿は，言語獲得と理解研究会報告のための LaTeX テンプレートのサンプルである．近年，大規模言語モデル（LLM）は多様な分野で応用されており，言語獲得や言語理解の研究においてもその表現特性の分析が重要な課題となっている [3]．本テンプレートでは，図 1，表 1，式 (1)，および例 (1) のように，論文に必要な要素の書き方を示す．</w:t>
      </w:r>
    </w:p>
    <w:p>
      <w:pPr>
        <w:spacing w:before="80" w:after="40" w:line="240" w:lineRule="auto"/>
        <w:jc w:val="left"/>
      </w:pPr>
      <w:r>
        <w:rPr>
          <w:rFonts w:ascii="Times New Roman" w:hAnsi="Times New Roman" w:eastAsia="MS Mincho" w:cs="Times New Roman"/>
          <w:b/>
          <w:i w:val="0"/>
          <w:sz w:val="28"/>
        </w:rPr>
        <w:t xml:space="preserve">2 </w:t>
      </w:r>
      <w:r>
        <w:rPr>
          <w:rFonts w:ascii="Times New Roman" w:hAnsi="Times New Roman" w:eastAsia="MS Gothic" w:cs="Times New Roman"/>
          <w:b/>
          <w:i w:val="0"/>
          <w:sz w:val="28"/>
        </w:rPr>
        <w:t>関連研究</w:t>
      </w:r>
    </w:p>
    <w:p>
      <w:pPr>
        <w:spacing w:before="0" w:after="60" w:line="252" w:lineRule="auto"/>
        <w:jc w:val="both"/>
      </w:pPr>
      <w:r>
        <w:rPr>
          <w:rFonts w:ascii="Times New Roman" w:hAnsi="Times New Roman" w:eastAsia="MS Mincho" w:cs="Times New Roman"/>
          <w:b w:val="0"/>
          <w:i w:val="0"/>
          <w:sz w:val="20"/>
        </w:rPr>
        <w:t>従来研究は大きく二つの観点に整理できる [2]．</w:t>
      </w:r>
    </w:p>
    <w:p>
      <w:pPr>
        <w:spacing w:before="60" w:after="20" w:line="240" w:lineRule="auto"/>
        <w:jc w:val="left"/>
      </w:pPr>
      <w:r>
        <w:rPr>
          <w:rFonts w:ascii="Times New Roman" w:hAnsi="Times New Roman" w:eastAsia="MS Mincho" w:cs="Times New Roman"/>
          <w:b/>
          <w:i w:val="0"/>
          <w:sz w:val="24"/>
        </w:rPr>
        <w:t xml:space="preserve">2.1 </w:t>
      </w:r>
      <w:r>
        <w:rPr>
          <w:rFonts w:ascii="Times New Roman" w:hAnsi="Times New Roman" w:eastAsia="MS Gothic" w:cs="Times New Roman"/>
          <w:b/>
          <w:i w:val="0"/>
          <w:sz w:val="24"/>
        </w:rPr>
        <w:t>語彙的多様性の観点</w:t>
      </w:r>
    </w:p>
    <w:p>
      <w:pPr>
        <w:spacing w:before="0" w:after="60" w:line="252" w:lineRule="auto"/>
        <w:jc w:val="both"/>
      </w:pPr>
      <w:r>
        <w:rPr>
          <w:rFonts w:ascii="Times New Roman" w:hAnsi="Times New Roman" w:eastAsia="MS Mincho" w:cs="Times New Roman"/>
          <w:b w:val="0"/>
          <w:i w:val="0"/>
          <w:sz w:val="20"/>
        </w:rPr>
        <w:t>第一の観点は，産出語彙の多様性に着目するものである [4]．この観点では，語の種類数や品詞分布が主要な指標として用いられてきた．</w:t>
      </w:r>
    </w:p>
    <w:p>
      <w:pPr>
        <w:spacing w:before="60" w:after="20" w:line="240" w:lineRule="auto"/>
        <w:jc w:val="left"/>
      </w:pPr>
      <w:r>
        <w:rPr>
          <w:rFonts w:ascii="Times New Roman" w:hAnsi="Times New Roman" w:eastAsia="MS Mincho" w:cs="Times New Roman"/>
          <w:b/>
          <w:i w:val="0"/>
          <w:sz w:val="24"/>
        </w:rPr>
        <w:t xml:space="preserve">2.2 </w:t>
      </w:r>
      <w:r>
        <w:rPr>
          <w:rFonts w:ascii="Times New Roman" w:hAnsi="Times New Roman" w:eastAsia="MS Gothic" w:cs="Times New Roman"/>
          <w:b/>
          <w:i w:val="0"/>
          <w:sz w:val="24"/>
        </w:rPr>
        <w:t>表現比較の観点</w:t>
      </w:r>
    </w:p>
    <w:p>
      <w:pPr>
        <w:spacing w:before="0" w:after="60" w:line="252" w:lineRule="auto"/>
        <w:jc w:val="both"/>
      </w:pPr>
      <w:r>
        <w:rPr>
          <w:rFonts w:ascii="Times New Roman" w:hAnsi="Times New Roman" w:eastAsia="MS Mincho" w:cs="Times New Roman"/>
          <w:b w:val="0"/>
          <w:i w:val="0"/>
          <w:sz w:val="20"/>
        </w:rPr>
        <w:t>第二の観点は，人間とモデルの出力を直接比較するものであり，複数の指標を組み合わせた多角的評価が提案されている [3, 4, 1]．</w:t>
      </w:r>
    </w:p>
    <w:p>
      <w:pPr>
        <w:spacing w:before="80" w:after="40" w:line="240" w:lineRule="auto"/>
        <w:jc w:val="left"/>
      </w:pPr>
      <w:r>
        <w:rPr>
          <w:rFonts w:ascii="Times New Roman" w:hAnsi="Times New Roman" w:eastAsia="MS Mincho" w:cs="Times New Roman"/>
          <w:b/>
          <w:i w:val="0"/>
          <w:sz w:val="28"/>
        </w:rPr>
        <w:t xml:space="preserve">3 </w:t>
      </w:r>
      <w:r>
        <w:rPr>
          <w:rFonts w:ascii="Times New Roman" w:hAnsi="Times New Roman" w:eastAsia="MS Gothic" w:cs="Times New Roman"/>
          <w:b/>
          <w:i w:val="0"/>
          <w:sz w:val="28"/>
        </w:rPr>
        <w:t>提案手法</w:t>
      </w:r>
    </w:p>
    <w:p>
      <w:pPr>
        <w:spacing w:before="0" w:after="60" w:line="252" w:lineRule="auto"/>
        <w:jc w:val="both"/>
      </w:pPr>
      <w:r>
        <w:rPr>
          <w:rFonts w:ascii="Times New Roman" w:hAnsi="Times New Roman" w:eastAsia="MS Mincho" w:cs="Times New Roman"/>
          <w:b w:val="0"/>
          <w:i w:val="0"/>
          <w:sz w:val="20"/>
        </w:rPr>
        <w:t xml:space="preserve">二つの表現ベクトル </w:t>
      </w:r>
      <w:r>
        <w:rPr>
          <w:rFonts w:ascii="Times New Roman" w:hAnsi="Times New Roman" w:eastAsia="MS Mincho" w:cs="Times New Roman"/>
          <w:b/>
          <w:i/>
          <w:sz w:val="20"/>
        </w:rPr>
        <w:t>c</w:t>
      </w:r>
      <w:r>
        <w:rPr>
          <w:rFonts w:ascii="Times New Roman" w:hAnsi="Times New Roman" w:eastAsia="MS Mincho" w:cs="Times New Roman"/>
          <w:b w:val="0"/>
          <w:i w:val="0"/>
          <w:sz w:val="20"/>
        </w:rPr>
        <w:t xml:space="preserve">（人間）と </w:t>
      </w:r>
      <w:r>
        <w:rPr>
          <w:rFonts w:ascii="Times New Roman" w:hAnsi="Times New Roman" w:eastAsia="MS Mincho" w:cs="Times New Roman"/>
          <w:b/>
          <w:i/>
          <w:sz w:val="20"/>
        </w:rPr>
        <w:t>m</w:t>
      </w:r>
      <w:r>
        <w:rPr>
          <w:rFonts w:ascii="Times New Roman" w:hAnsi="Times New Roman" w:eastAsia="MS Mincho" w:cs="Times New Roman"/>
          <w:b w:val="0"/>
          <w:i w:val="0"/>
          <w:sz w:val="20"/>
        </w:rPr>
        <w:t>（モデル）の類似度は，式 (1) のコサイン類似度で定義する．</w:t>
      </w:r>
    </w:p>
    <w:p>
      <w:pPr>
        <w:tabs>
          <w:tab w:pos="2438" w:val="center"/>
          <w:tab w:pos="4876" w:val="right"/>
        </w:tabs>
        <w:spacing w:before="60" w:after="60" w:line="240" w:lineRule="auto"/>
        <w:jc w:val="left"/>
      </w:pPr>
      <w:r>
        <w:rPr>
          <w:rFonts w:ascii="Times New Roman" w:hAnsi="Times New Roman" w:eastAsia="MS Mincho" w:cs="Times New Roman"/>
          <w:b w:val="0"/>
          <w:i w:val="0"/>
          <w:sz w:val="20"/>
        </w:rPr>
        <w:tab/>
      </w:r>
      <m:oMath>
        <m:r>
          <m:rPr>
            <m:nor/>
          </m:rPr>
          <m:t>sim</m:t>
        </m:r>
        <m:r>
          <m:t>(</m:t>
        </m:r>
        <m:r>
          <m:rPr>
            <m:sty m:val="bi"/>
          </m:rPr>
          <m:t>c</m:t>
        </m:r>
        <m:r>
          <m:t>, </m:t>
        </m:r>
        <m:r>
          <m:rPr>
            <m:sty m:val="bi"/>
          </m:rPr>
          <m:t>m</m:t>
        </m:r>
        <m:r>
          <m:t>) = </m:t>
        </m:r>
        <m:f>
          <m:num>
            <m:r>
              <m:rPr>
                <m:sty m:val="bi"/>
              </m:rPr>
              <m:t>c</m:t>
            </m:r>
            <m:r>
              <m:t>·</m:t>
            </m:r>
            <m:r>
              <m:rPr>
                <m:sty m:val="bi"/>
              </m:rPr>
              <m:t>m</m:t>
            </m:r>
          </m:num>
          <m:den>
            <m:r>
              <m:t>‖</m:t>
            </m:r>
            <m:r>
              <m:rPr>
                <m:sty m:val="bi"/>
              </m:rPr>
              <m:t>c</m:t>
            </m:r>
            <m:r>
              <m:t>‖ ‖</m:t>
            </m:r>
            <m:r>
              <m:rPr>
                <m:sty m:val="bi"/>
              </m:rPr>
              <m:t>m</m:t>
            </m:r>
            <m:r>
              <m:t>‖</m:t>
            </m:r>
          </m:den>
        </m:f>
      </m:oMath>
      <w:r>
        <w:rPr>
          <w:rFonts w:ascii="Times New Roman" w:hAnsi="Times New Roman" w:eastAsia="MS Mincho" w:cs="Times New Roman"/>
          <w:b w:val="0"/>
          <w:i w:val="0"/>
          <w:sz w:val="20"/>
        </w:rPr>
        <w:tab/>
        <w:t>(1)</w:t>
      </w:r>
    </w:p>
    <w:p>
      <w:pPr>
        <w:spacing w:before="0" w:after="60" w:line="252" w:lineRule="auto"/>
        <w:jc w:val="both"/>
      </w:pPr>
      <w:r>
        <w:rPr>
          <w:rFonts w:ascii="Times New Roman" w:hAnsi="Times New Roman" w:eastAsia="MS Mincho" w:cs="Times New Roman"/>
          <w:b w:val="0"/>
          <w:i w:val="0"/>
          <w:sz w:val="20"/>
        </w:rPr>
        <w:t>例文は次のように番号付きで示す．</w:t>
      </w:r>
    </w:p>
    <w:p>
      <w:pPr>
        <w:tabs>
          <w:tab w:pos="397" w:val="left"/>
        </w:tabs>
        <w:spacing w:before="0" w:after="20" w:line="252" w:lineRule="auto"/>
        <w:ind w:left="397" w:hanging="397"/>
        <w:jc w:val="both"/>
      </w:pPr>
      <w:r>
        <w:rPr>
          <w:rFonts w:ascii="Times New Roman" w:hAnsi="Times New Roman" w:eastAsia="MS Mincho" w:cs="Times New Roman"/>
          <w:b w:val="0"/>
          <w:i w:val="0"/>
          <w:sz w:val="20"/>
        </w:rPr>
        <w:t>(1)</w:t>
        <w:tab/>
      </w:r>
      <w:r>
        <w:rPr>
          <w:rFonts w:ascii="Times New Roman" w:hAnsi="Times New Roman" w:eastAsia="MS Mincho" w:cs="Times New Roman"/>
          <w:b w:val="0"/>
          <w:i w:val="0"/>
          <w:sz w:val="20"/>
        </w:rPr>
        <w:t>子供は絵を見て「きれい」と言った．</w:t>
      </w:r>
    </w:p>
    <w:p>
      <w:pPr>
        <w:tabs>
          <w:tab w:pos="397" w:val="left"/>
        </w:tabs>
        <w:spacing w:before="0" w:after="20" w:line="252" w:lineRule="auto"/>
        <w:ind w:left="397" w:hanging="397"/>
        <w:jc w:val="both"/>
      </w:pPr>
      <w:r>
        <w:rPr>
          <w:rFonts w:ascii="Times New Roman" w:hAnsi="Times New Roman" w:eastAsia="MS Mincho" w:cs="Times New Roman"/>
          <w:b w:val="0"/>
          <w:i w:val="0"/>
          <w:sz w:val="20"/>
        </w:rPr>
        <w:t>(2)</w:t>
        <w:tab/>
      </w:r>
      <w:r>
        <w:rPr>
          <w:rFonts w:ascii="Times New Roman" w:hAnsi="Times New Roman" w:eastAsia="MS Mincho" w:cs="Times New Roman"/>
          <w:b w:val="0"/>
          <w:i w:val="0"/>
          <w:sz w:val="20"/>
        </w:rPr>
        <w:t>モデルは同じ絵を「美しい構図」と記述した．</w:t>
      </w:r>
    </w:p>
    <w:p>
      <w:pPr>
        <w:spacing w:before="0" w:after="60" w:line="252" w:lineRule="auto"/>
        <w:jc w:val="both"/>
      </w:pPr>
      <w:r>
        <w:rPr>
          <w:rFonts w:ascii="Times New Roman" w:hAnsi="Times New Roman" w:eastAsia="MS Mincho" w:cs="Times New Roman"/>
          <w:b w:val="0"/>
          <w:i w:val="0"/>
          <w:sz w:val="20"/>
        </w:rPr>
        <w:t>例 (1) と例 (2) は，同じ対象に対する語彙選択の差を示す．</w:t>
      </w:r>
    </w:p>
    <w:p>
      <w:pPr>
        <w:spacing w:before="80" w:after="40" w:line="240" w:lineRule="auto"/>
        <w:jc w:val="left"/>
      </w:pPr>
      <w:r>
        <w:rPr>
          <w:rFonts w:ascii="Times New Roman" w:hAnsi="Times New Roman" w:eastAsia="MS Mincho" w:cs="Times New Roman"/>
          <w:b/>
          <w:i w:val="0"/>
          <w:sz w:val="28"/>
        </w:rPr>
        <w:t xml:space="preserve">4 </w:t>
      </w:r>
      <w:r>
        <w:rPr>
          <w:rFonts w:ascii="Times New Roman" w:hAnsi="Times New Roman" w:eastAsia="MS Gothic" w:cs="Times New Roman"/>
          <w:b/>
          <w:i w:val="0"/>
          <w:sz w:val="28"/>
        </w:rPr>
        <w:t>データセットと実験</w:t>
      </w:r>
    </w:p>
    <w:p>
      <w:pPr>
        <w:spacing w:before="0" w:after="40" w:line="252" w:lineRule="auto"/>
        <w:jc w:val="both"/>
      </w:pPr>
      <w:r>
        <w:rPr>
          <w:rFonts w:ascii="Times New Roman" w:hAnsi="Times New Roman" w:eastAsia="MS Mincho" w:cs="Times New Roman"/>
          <w:b w:val="0"/>
          <w:i w:val="0"/>
          <w:sz w:val="20"/>
        </w:rPr>
        <w:t>分析結果の概要を図 1 に，主要指標の比較を表 1 に示す．</w:t>
      </w:r>
    </w:p>
    <w:p>
      <w:pPr>
        <w:spacing w:before="40" w:after="20" w:line="240" w:lineRule="auto"/>
        <w:jc w:val="center"/>
      </w:pPr>
      <w:r>
        <w:drawing>
          <wp:inline xmlns:a="http://schemas.openxmlformats.org/drawingml/2006/main" xmlns:pic="http://schemas.openxmlformats.org/drawingml/2006/picture">
            <wp:extent cx="2880000" cy="1970214"/>
            <wp:docPr id="1" name="Picture 1"/>
            <wp:cNvGraphicFramePr>
              <a:graphicFrameLocks noChangeAspect="1"/>
            </wp:cNvGraphicFramePr>
            <a:graphic>
              <a:graphicData uri="http://schemas.openxmlformats.org/drawingml/2006/picture">
                <pic:pic>
                  <pic:nvPicPr>
                    <pic:cNvPr id="0" name="figure1.png"/>
                    <pic:cNvPicPr/>
                  </pic:nvPicPr>
                  <pic:blipFill>
                    <a:blip r:embed="rId9"/>
                    <a:stretch>
                      <a:fillRect/>
                    </a:stretch>
                  </pic:blipFill>
                  <pic:spPr>
                    <a:xfrm>
                      <a:off x="0" y="0"/>
                      <a:ext cx="2880000" cy="1970214"/>
                    </a:xfrm>
                    <a:prstGeom prst="rect"/>
                  </pic:spPr>
                </pic:pic>
              </a:graphicData>
            </a:graphic>
          </wp:inline>
        </w:drawing>
      </w:r>
    </w:p>
    <w:p>
      <w:pPr>
        <w:spacing w:before="0" w:after="80" w:line="240" w:lineRule="auto"/>
        <w:jc w:val="center"/>
      </w:pPr>
      <w:r>
        <w:rPr>
          <w:rFonts w:ascii="Times New Roman" w:hAnsi="Times New Roman" w:eastAsia="MS Mincho" w:cs="Times New Roman"/>
          <w:b w:val="0"/>
          <w:i w:val="0"/>
          <w:sz w:val="18"/>
        </w:rPr>
        <w:t>図 1</w:t>
      </w:r>
      <w:r>
        <w:rPr>
          <w:rFonts w:ascii="Times New Roman" w:hAnsi="Times New Roman" w:eastAsia="MS Mincho" w:cs="Times New Roman"/>
          <w:b w:val="0"/>
          <w:i w:val="0"/>
          <w:sz w:val="18"/>
        </w:rPr>
        <w:t xml:space="preserve">　サンプル図：分析結果の可視化．</w:t>
      </w:r>
    </w:p>
    <w:p>
      <w:pPr>
        <w:spacing w:before="40" w:after="20" w:line="240" w:lineRule="auto"/>
        <w:jc w:val="center"/>
      </w:pPr>
      <w:r>
        <w:rPr>
          <w:rFonts w:ascii="Times New Roman" w:hAnsi="Times New Roman" w:eastAsia="MS Mincho" w:cs="Times New Roman"/>
          <w:b w:val="0"/>
          <w:i w:val="0"/>
          <w:sz w:val="18"/>
        </w:rPr>
        <w:t>表 1</w:t>
      </w:r>
      <w:r>
        <w:rPr>
          <w:rFonts w:ascii="Times New Roman" w:hAnsi="Times New Roman" w:eastAsia="MS Mincho" w:cs="Times New Roman"/>
          <w:b w:val="0"/>
          <w:i w:val="0"/>
          <w:sz w:val="18"/>
        </w:rPr>
        <w:t xml:space="preserve">　サンプル表：評価指標の比較．</w:t>
      </w:r>
    </w:p>
    <w:tbl>
      <w:tblPr>
        <w:tblW w:type="dxa" w:w="4082"/>
        <w:jc w:val="center"/>
        <w:tblLayout w:type="fixed"/>
        <w:tblLook w:firstColumn="1" w:firstRow="1" w:lastColumn="0" w:lastRow="0" w:noHBand="0" w:noVBand="1" w:val="04A0"/>
      </w:tblPr>
      <w:tblGrid>
        <w:gridCol w:w="2268"/>
        <w:gridCol w:w="907"/>
        <w:gridCol w:w="907"/>
      </w:tblGrid>
      <w:tr>
        <w:tc>
          <w:tcPr>
            <w:tcW w:type="dxa" w:w="2268"/>
            <w:tcBorders>
              <w:top w:val="single" w:sz="8" w:space="0" w:color="000000"/>
              <w:bottom w:val="single" w:sz="4" w:space="0" w:color="000000"/>
            </w:tcBorders>
          </w:tcPr>
          <w:p>
            <w:pPr>
              <w:spacing w:before="20" w:after="20"/>
              <w:jc w:val="left"/>
            </w:pPr>
            <w:r>
              <w:rPr>
                <w:rFonts w:ascii="Times New Roman" w:hAnsi="Times New Roman" w:eastAsia="MS Mincho" w:cs="Times New Roman"/>
                <w:b w:val="0"/>
                <w:i w:val="0"/>
                <w:sz w:val="20"/>
              </w:rPr>
              <w:t>指標</w:t>
            </w:r>
          </w:p>
        </w:tc>
        <w:tc>
          <w:tcPr>
            <w:tcW w:type="dxa" w:w="907"/>
            <w:tcBorders>
              <w:top w:val="single" w:sz="8" w:space="0" w:color="000000"/>
              <w:bottom w:val="single" w:sz="4" w:space="0" w:color="000000"/>
            </w:tcBorders>
          </w:tcPr>
          <w:p>
            <w:pPr>
              <w:spacing w:before="20" w:after="20"/>
              <w:jc w:val="center"/>
            </w:pPr>
            <w:r>
              <w:rPr>
                <w:rFonts w:ascii="Times New Roman" w:hAnsi="Times New Roman" w:eastAsia="MS Mincho" w:cs="Times New Roman"/>
                <w:b w:val="0"/>
                <w:i w:val="0"/>
                <w:sz w:val="20"/>
              </w:rPr>
              <w:t>子供</w:t>
            </w:r>
          </w:p>
        </w:tc>
        <w:tc>
          <w:tcPr>
            <w:tcW w:type="dxa" w:w="907"/>
            <w:tcBorders>
              <w:top w:val="single" w:sz="8" w:space="0" w:color="000000"/>
              <w:bottom w:val="single" w:sz="4" w:space="0" w:color="000000"/>
            </w:tcBorders>
          </w:tcPr>
          <w:p>
            <w:pPr>
              <w:spacing w:before="20" w:after="20"/>
              <w:jc w:val="center"/>
            </w:pPr>
            <w:r>
              <w:rPr>
                <w:rFonts w:ascii="Times New Roman" w:hAnsi="Times New Roman" w:eastAsia="MS Mincho" w:cs="Times New Roman"/>
                <w:b w:val="0"/>
                <w:i w:val="0"/>
                <w:sz w:val="20"/>
              </w:rPr>
              <w:t>LLM</w:t>
            </w:r>
          </w:p>
        </w:tc>
      </w:tr>
      <w:tr>
        <w:tc>
          <w:tcPr>
            <w:tcW w:type="dxa" w:w="2268"/>
          </w:tcPr>
          <w:p>
            <w:pPr>
              <w:spacing w:before="20" w:after="20"/>
              <w:jc w:val="left"/>
            </w:pPr>
            <w:r>
              <w:rPr>
                <w:rFonts w:ascii="Times New Roman" w:hAnsi="Times New Roman" w:eastAsia="MS Mincho" w:cs="Times New Roman"/>
                <w:b w:val="0"/>
                <w:i w:val="0"/>
                <w:sz w:val="20"/>
              </w:rPr>
              <w:t>名詞率</w:t>
            </w:r>
          </w:p>
        </w:tc>
        <w:tc>
          <w:tcPr>
            <w:tcW w:type="dxa" w:w="907"/>
          </w:tcPr>
          <w:p>
            <w:pPr>
              <w:spacing w:before="20" w:after="20"/>
              <w:jc w:val="center"/>
            </w:pPr>
            <w:r>
              <w:rPr>
                <w:rFonts w:ascii="Times New Roman" w:hAnsi="Times New Roman" w:eastAsia="MS Mincho" w:cs="Times New Roman"/>
                <w:b w:val="0"/>
                <w:i w:val="0"/>
                <w:sz w:val="20"/>
              </w:rPr>
              <w:t>0.62</w:t>
            </w:r>
          </w:p>
        </w:tc>
        <w:tc>
          <w:tcPr>
            <w:tcW w:type="dxa" w:w="907"/>
          </w:tcPr>
          <w:p>
            <w:pPr>
              <w:spacing w:before="20" w:after="20"/>
              <w:jc w:val="center"/>
            </w:pPr>
            <w:r>
              <w:rPr>
                <w:rFonts w:ascii="Times New Roman" w:hAnsi="Times New Roman" w:eastAsia="MS Mincho" w:cs="Times New Roman"/>
                <w:b w:val="0"/>
                <w:i w:val="0"/>
                <w:sz w:val="20"/>
              </w:rPr>
              <w:t>0.48</w:t>
            </w:r>
          </w:p>
        </w:tc>
      </w:tr>
      <w:tr>
        <w:tc>
          <w:tcPr>
            <w:tcW w:type="dxa" w:w="2268"/>
          </w:tcPr>
          <w:p>
            <w:pPr>
              <w:spacing w:before="20" w:after="20"/>
              <w:jc w:val="left"/>
            </w:pPr>
            <w:r>
              <w:rPr>
                <w:rFonts w:ascii="Times New Roman" w:hAnsi="Times New Roman" w:eastAsia="MS Mincho" w:cs="Times New Roman"/>
                <w:b w:val="0"/>
                <w:i w:val="0"/>
                <w:sz w:val="20"/>
              </w:rPr>
              <w:t>動詞率</w:t>
            </w:r>
          </w:p>
        </w:tc>
        <w:tc>
          <w:tcPr>
            <w:tcW w:type="dxa" w:w="907"/>
          </w:tcPr>
          <w:p>
            <w:pPr>
              <w:spacing w:before="20" w:after="20"/>
              <w:jc w:val="center"/>
            </w:pPr>
            <w:r>
              <w:rPr>
                <w:rFonts w:ascii="Times New Roman" w:hAnsi="Times New Roman" w:eastAsia="MS Mincho" w:cs="Times New Roman"/>
                <w:b w:val="0"/>
                <w:i w:val="0"/>
                <w:sz w:val="20"/>
              </w:rPr>
              <w:t>0.10</w:t>
            </w:r>
          </w:p>
        </w:tc>
        <w:tc>
          <w:tcPr>
            <w:tcW w:type="dxa" w:w="907"/>
          </w:tcPr>
          <w:p>
            <w:pPr>
              <w:spacing w:before="20" w:after="20"/>
              <w:jc w:val="center"/>
            </w:pPr>
            <w:r>
              <w:rPr>
                <w:rFonts w:ascii="Times New Roman" w:hAnsi="Times New Roman" w:eastAsia="MS Mincho" w:cs="Times New Roman"/>
                <w:b w:val="0"/>
                <w:i w:val="0"/>
                <w:sz w:val="20"/>
              </w:rPr>
              <w:t>0.21</w:t>
            </w:r>
          </w:p>
        </w:tc>
      </w:tr>
      <w:tr>
        <w:tc>
          <w:tcPr>
            <w:tcW w:type="dxa" w:w="2268"/>
            <w:tcBorders>
              <w:bottom w:val="single" w:sz="8" w:space="0" w:color="000000"/>
            </w:tcBorders>
          </w:tcPr>
          <w:p>
            <w:pPr>
              <w:spacing w:before="20" w:after="20"/>
              <w:jc w:val="left"/>
            </w:pPr>
            <w:r>
              <w:rPr>
                <w:rFonts w:ascii="Times New Roman" w:hAnsi="Times New Roman" w:eastAsia="MS Mincho" w:cs="Times New Roman"/>
                <w:b w:val="0"/>
                <w:i w:val="0"/>
                <w:sz w:val="20"/>
              </w:rPr>
              <w:t>語彙の多様性 (TTR)</w:t>
            </w:r>
          </w:p>
        </w:tc>
        <w:tc>
          <w:tcPr>
            <w:tcW w:type="dxa" w:w="907"/>
            <w:tcBorders>
              <w:bottom w:val="single" w:sz="8" w:space="0" w:color="000000"/>
            </w:tcBorders>
          </w:tcPr>
          <w:p>
            <w:pPr>
              <w:spacing w:before="20" w:after="20"/>
              <w:jc w:val="center"/>
            </w:pPr>
            <w:r>
              <w:rPr>
                <w:rFonts w:ascii="Times New Roman" w:hAnsi="Times New Roman" w:eastAsia="MS Mincho" w:cs="Times New Roman"/>
                <w:b w:val="0"/>
                <w:i w:val="0"/>
                <w:sz w:val="20"/>
              </w:rPr>
              <w:t>0.55</w:t>
            </w:r>
          </w:p>
        </w:tc>
        <w:tc>
          <w:tcPr>
            <w:tcW w:type="dxa" w:w="907"/>
            <w:tcBorders>
              <w:bottom w:val="single" w:sz="8" w:space="0" w:color="000000"/>
            </w:tcBorders>
          </w:tcPr>
          <w:p>
            <w:pPr>
              <w:spacing w:before="20" w:after="20"/>
              <w:jc w:val="center"/>
            </w:pPr>
            <w:r>
              <w:rPr>
                <w:rFonts w:ascii="Times New Roman" w:hAnsi="Times New Roman" w:eastAsia="MS Mincho" w:cs="Times New Roman"/>
                <w:b w:val="0"/>
                <w:i w:val="0"/>
                <w:sz w:val="20"/>
              </w:rPr>
              <w:t>0.73</w:t>
            </w:r>
          </w:p>
        </w:tc>
      </w:tr>
    </w:tbl>
    <w:p>
      <w:pPr>
        <w:spacing w:before="0" w:after="60" w:line="240" w:lineRule="auto"/>
      </w:pPr>
    </w:p>
    <w:p>
      <w:pPr>
        <w:spacing w:before="80" w:after="40" w:line="240" w:lineRule="auto"/>
        <w:jc w:val="left"/>
      </w:pPr>
      <w:r>
        <w:rPr>
          <w:rFonts w:ascii="Times New Roman" w:hAnsi="Times New Roman" w:eastAsia="MS Mincho" w:cs="Times New Roman"/>
          <w:b/>
          <w:i w:val="0"/>
          <w:sz w:val="28"/>
        </w:rPr>
        <w:t xml:space="preserve">5 </w:t>
      </w:r>
      <w:r>
        <w:rPr>
          <w:rFonts w:ascii="Times New Roman" w:hAnsi="Times New Roman" w:eastAsia="MS Gothic" w:cs="Times New Roman"/>
          <w:b/>
          <w:i w:val="0"/>
          <w:sz w:val="28"/>
        </w:rPr>
        <w:t>結論と今後の展望</w:t>
      </w:r>
    </w:p>
    <w:p>
      <w:pPr>
        <w:spacing w:before="0" w:after="60" w:line="252" w:lineRule="auto"/>
        <w:jc w:val="both"/>
      </w:pPr>
      <w:r>
        <w:rPr>
          <w:rFonts w:ascii="Times New Roman" w:hAnsi="Times New Roman" w:eastAsia="MS Mincho" w:cs="Times New Roman"/>
          <w:b w:val="0"/>
          <w:i w:val="0"/>
          <w:sz w:val="20"/>
        </w:rPr>
        <w:t>本テンプレートは，整列した余白・マクロ駆動の著者欄・コンパクトな参考文献・査読用の匿名化スイッチを備えた，再利用可能な雛形である．内容を差し替えるだけで投稿用原稿を作成できる．</w:t>
      </w:r>
    </w:p>
    <w:p>
      <w:pPr>
        <w:spacing w:before="100" w:after="40" w:line="240" w:lineRule="auto"/>
        <w:jc w:val="left"/>
      </w:pPr>
      <w:r>
        <w:rPr>
          <w:rFonts w:ascii="Times New Roman" w:hAnsi="Times New Roman" w:eastAsia="MS Gothic" w:cs="Times New Roman"/>
          <w:b/>
          <w:i w:val="0"/>
          <w:sz w:val="24"/>
        </w:rPr>
        <w:t>参考文献</w:t>
      </w:r>
    </w:p>
    <w:p>
      <w:pPr>
        <w:tabs>
          <w:tab w:pos="283" w:val="left"/>
        </w:tabs>
        <w:spacing w:before="0" w:after="20" w:line="240" w:lineRule="auto"/>
        <w:ind w:left="283" w:hanging="283"/>
        <w:jc w:val="both"/>
      </w:pPr>
      <w:r>
        <w:rPr>
          <w:rFonts w:ascii="Times New Roman" w:hAnsi="Times New Roman" w:eastAsia="MS Mincho" w:cs="Times New Roman"/>
          <w:b w:val="0"/>
          <w:i w:val="0"/>
          <w:sz w:val="16"/>
        </w:rPr>
        <w:t>[1]</w:t>
        <w:tab/>
      </w:r>
      <w:r>
        <w:rPr>
          <w:rFonts w:ascii="Times New Roman" w:hAnsi="Times New Roman" w:eastAsia="MS Mincho" w:cs="Times New Roman"/>
          <w:b w:val="0"/>
          <w:i w:val="0"/>
          <w:sz w:val="16"/>
        </w:rPr>
        <w:t xml:space="preserve">First Author and Second Author. A sample conference paper entry for the template. In </w:t>
      </w:r>
      <w:r>
        <w:rPr>
          <w:rFonts w:ascii="Times New Roman" w:hAnsi="Times New Roman" w:eastAsia="MS Mincho" w:cs="Times New Roman"/>
          <w:b w:val="0"/>
          <w:i/>
          <w:sz w:val="16"/>
        </w:rPr>
        <w:t>Proceedings of the SIG on Language Acquisition and Understanding</w:t>
      </w:r>
      <w:r>
        <w:rPr>
          <w:rFonts w:ascii="Times New Roman" w:hAnsi="Times New Roman" w:eastAsia="MS Mincho" w:cs="Times New Roman"/>
          <w:b w:val="0"/>
          <w:i w:val="0"/>
          <w:sz w:val="16"/>
        </w:rPr>
        <w:t>, pages 1–8, 2025.</w:t>
      </w:r>
    </w:p>
    <w:p>
      <w:pPr>
        <w:tabs>
          <w:tab w:pos="283" w:val="left"/>
        </w:tabs>
        <w:spacing w:before="0" w:after="20" w:line="240" w:lineRule="auto"/>
        <w:ind w:left="283" w:hanging="283"/>
        <w:jc w:val="both"/>
      </w:pPr>
      <w:r>
        <w:rPr>
          <w:rFonts w:ascii="Times New Roman" w:hAnsi="Times New Roman" w:eastAsia="MS Mincho" w:cs="Times New Roman"/>
          <w:b w:val="0"/>
          <w:i w:val="0"/>
          <w:sz w:val="16"/>
        </w:rPr>
        <w:t>[2]</w:t>
        <w:tab/>
      </w:r>
      <w:r>
        <w:rPr>
          <w:rFonts w:ascii="Times New Roman" w:hAnsi="Times New Roman" w:eastAsia="MS Mincho" w:cs="Times New Roman"/>
          <w:b w:val="0"/>
          <w:i w:val="0"/>
          <w:sz w:val="16"/>
        </w:rPr>
        <w:t xml:space="preserve">Third Author. </w:t>
      </w:r>
      <w:r>
        <w:rPr>
          <w:rFonts w:ascii="Times New Roman" w:hAnsi="Times New Roman" w:eastAsia="MS Mincho" w:cs="Times New Roman"/>
          <w:b w:val="0"/>
          <w:i/>
          <w:sz w:val="16"/>
        </w:rPr>
        <w:t>A Sample Book Entry for the Template</w:t>
      </w:r>
      <w:r>
        <w:rPr>
          <w:rFonts w:ascii="Times New Roman" w:hAnsi="Times New Roman" w:eastAsia="MS Mincho" w:cs="Times New Roman"/>
          <w:b w:val="0"/>
          <w:i w:val="0"/>
          <w:sz w:val="16"/>
        </w:rPr>
        <w:t>. Sample Academic Press, 2024.</w:t>
      </w:r>
    </w:p>
    <w:p>
      <w:pPr>
        <w:tabs>
          <w:tab w:pos="283" w:val="left"/>
        </w:tabs>
        <w:spacing w:before="0" w:after="20" w:line="240" w:lineRule="auto"/>
        <w:ind w:left="283" w:hanging="283"/>
        <w:jc w:val="both"/>
      </w:pPr>
      <w:r>
        <w:rPr>
          <w:rFonts w:ascii="Times New Roman" w:hAnsi="Times New Roman" w:eastAsia="MS Mincho" w:cs="Times New Roman"/>
          <w:b w:val="0"/>
          <w:i w:val="0"/>
          <w:sz w:val="16"/>
        </w:rPr>
        <w:t>[3]</w:t>
        <w:tab/>
      </w:r>
      <w:r>
        <w:rPr>
          <w:rFonts w:ascii="Times New Roman" w:hAnsi="Times New Roman" w:eastAsia="MS Mincho" w:cs="Times New Roman"/>
          <w:b w:val="0"/>
          <w:i w:val="0"/>
          <w:sz w:val="16"/>
        </w:rPr>
        <w:t xml:space="preserve">Michal Ptaszynski, Pawel Dybala, Wenhan Shi, Rafal Rzepka, and Kenji Araki. A system for affect analysis of utterances in japanese supported with web mining. </w:t>
      </w:r>
      <w:r>
        <w:rPr>
          <w:rFonts w:ascii="Times New Roman" w:hAnsi="Times New Roman" w:eastAsia="MS Mincho" w:cs="Times New Roman"/>
          <w:b w:val="0"/>
          <w:i/>
          <w:sz w:val="16"/>
        </w:rPr>
        <w:t>Journal of Japan Society for Fuzzy Theory and Intelligent Informatics</w:t>
      </w:r>
      <w:r>
        <w:rPr>
          <w:rFonts w:ascii="Times New Roman" w:hAnsi="Times New Roman" w:eastAsia="MS Mincho" w:cs="Times New Roman"/>
          <w:b w:val="0"/>
          <w:i w:val="0"/>
          <w:sz w:val="16"/>
        </w:rPr>
        <w:t>, 21(2):194–213, 2009.</w:t>
      </w:r>
    </w:p>
    <w:p>
      <w:pPr>
        <w:tabs>
          <w:tab w:pos="283" w:val="left"/>
        </w:tabs>
        <w:spacing w:before="0" w:after="20" w:line="240" w:lineRule="auto"/>
        <w:ind w:left="283" w:hanging="283"/>
        <w:jc w:val="both"/>
      </w:pPr>
      <w:r>
        <w:rPr>
          <w:rFonts w:ascii="Times New Roman" w:hAnsi="Times New Roman" w:eastAsia="MS Mincho" w:cs="Times New Roman"/>
          <w:b w:val="0"/>
          <w:i w:val="0"/>
          <w:sz w:val="16"/>
        </w:rPr>
        <w:t>[4]</w:t>
        <w:tab/>
      </w:r>
      <w:r>
        <w:rPr>
          <w:rFonts w:ascii="Times New Roman" w:hAnsi="Times New Roman" w:eastAsia="MS Mincho" w:cs="Times New Roman"/>
          <w:b w:val="0"/>
          <w:i w:val="0"/>
          <w:sz w:val="16"/>
        </w:rPr>
        <w:t xml:space="preserve">Michal Ptaszynski, Fumito Masui, Yuuto Fukushima, Yuuto Oikawa, Hiroshi Hayakawa, Yasunori Miyamori, Kiyoshi Takahashi, and Shunzo Kawajiri. Deep learning for information triage on twitter. </w:t>
      </w:r>
      <w:r>
        <w:rPr>
          <w:rFonts w:ascii="Times New Roman" w:hAnsi="Times New Roman" w:eastAsia="MS Mincho" w:cs="Times New Roman"/>
          <w:b w:val="0"/>
          <w:i/>
          <w:sz w:val="16"/>
        </w:rPr>
        <w:t>Applied Sciences</w:t>
      </w:r>
      <w:r>
        <w:rPr>
          <w:rFonts w:ascii="Times New Roman" w:hAnsi="Times New Roman" w:eastAsia="MS Mincho" w:cs="Times New Roman"/>
          <w:b w:val="0"/>
          <w:i w:val="0"/>
          <w:sz w:val="16"/>
        </w:rPr>
        <w:t>, 11(14):6340, 2021.</w:t>
      </w:r>
    </w:p>
    <w:sectPr w:rsidR="00FC693F" w:rsidRPr="0006063C" w:rsidSect="00034616">
      <w:type w:val="continuous"/>
      <w:pgSz w:w="11906" w:h="16838"/>
      <w:pgMar w:top="1020" w:right="850" w:bottom="1020" w:left="850" w:header="720" w:footer="720" w:gutter="0"/>
      <w:cols w:space="453" w:num="2" w:equalWidth="1" w:sep="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MS Mincho" w:cs="Times New Roman"/>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